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</w:t>
      </w:r>
      <w:r>
        <w:rPr>
          <w:b/>
          <w:i/>
          <w:sz w:val="32"/>
          <w:szCs w:val="32"/>
          <w:lang w:val="fr-FR"/>
        </w:rPr>
        <w:t xml:space="preserve"> </w:t>
      </w:r>
      <w:r>
        <w:rPr>
          <w:b/>
          <w:i/>
          <w:sz w:val="32"/>
          <w:szCs w:val="32"/>
          <w:lang w:val="fr-FR"/>
        </w:rPr>
        <w:t xml:space="preserve">apei de îmbăiere Năvodari – </w:t>
      </w:r>
      <w:r>
        <w:rPr>
          <w:b/>
          <w:i/>
          <w:sz w:val="36"/>
          <w:szCs w:val="36"/>
          <w:lang w:val="en-US"/>
        </w:rPr>
        <w:t xml:space="preserve">31</w:t>
      </w:r>
      <w:r>
        <w:rPr>
          <w:b/>
          <w:i/>
          <w:sz w:val="36"/>
          <w:szCs w:val="36"/>
          <w:lang w:val="fr-FR"/>
        </w:rPr>
        <w:t xml:space="preserve">.0</w:t>
      </w:r>
      <w:r>
        <w:rPr>
          <w:b/>
          <w:i/>
          <w:sz w:val="36"/>
          <w:szCs w:val="36"/>
          <w:lang w:val="en-US"/>
        </w:rPr>
        <w:t xml:space="preserve">8</w:t>
      </w:r>
      <w:r>
        <w:rPr>
          <w:b/>
          <w:i/>
          <w:sz w:val="36"/>
          <w:szCs w:val="36"/>
          <w:lang w:val="fr-FR"/>
        </w:rPr>
        <w:t xml:space="preserve">.20</w:t>
      </w:r>
      <w:r>
        <w:rPr>
          <w:b/>
          <w:i/>
          <w:sz w:val="36"/>
          <w:szCs w:val="36"/>
          <w:lang w:val="fr-FR"/>
        </w:rPr>
        <w:t xml:space="preserve">2</w:t>
      </w:r>
      <w:r>
        <w:rPr>
          <w:b/>
          <w:i/>
          <w:sz w:val="36"/>
          <w:szCs w:val="36"/>
          <w:lang w:val="fr-FR"/>
        </w:rPr>
        <w:t xml:space="preserve">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RECOLTĂ</w:t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512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NĂVODARI 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TABĂRA DELFIN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9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NĂVODARI II</w:t>
            </w:r>
            <w:r>
              <w:rPr>
                <w:b/>
                <w:sz w:val="22"/>
                <w:szCs w:val="22"/>
                <w:lang w:val="fr-FR"/>
              </w:rPr>
            </w:r>
          </w:p>
          <w:p>
            <w:pPr>
              <w:pStyle w:val="683"/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HANUL PIRAŢILOR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17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>
          <w:trHeight w:val="493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NĂVODARI III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ZONA I CAMPING MARINA SURF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  <w:lang w:val="en-GB"/>
              </w:rPr>
            </w:pPr>
            <w:r>
              <w:rPr>
                <w:b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sz w:val="28"/>
                <w:szCs w:val="28"/>
                <w:lang w:val="en-GB"/>
              </w:rPr>
            </w:r>
            <w:r>
              <w:rPr>
                <w:b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8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NĂVODARI III</w:t>
            </w:r>
            <w:r>
              <w:rPr>
                <w:b/>
                <w:sz w:val="22"/>
                <w:szCs w:val="22"/>
                <w:lang w:val="fr-FR"/>
              </w:rPr>
            </w:r>
          </w:p>
          <w:p>
            <w:pPr>
              <w:pStyle w:val="683"/>
              <w:pBdr/>
              <w:spacing/>
              <w:ind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ZONA II PERLA MAJESTIC</w:t>
            </w:r>
            <w:r>
              <w:rPr>
                <w:b/>
                <w:sz w:val="22"/>
                <w:szCs w:val="22"/>
                <w:lang w:val="fr-FR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  <w:lang w:val="en-GB"/>
              </w:rPr>
            </w:pPr>
            <w:r>
              <w:rPr>
                <w:b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sz w:val="28"/>
                <w:szCs w:val="28"/>
                <w:lang w:val="en-GB"/>
              </w:rPr>
            </w:r>
            <w:r>
              <w:rPr>
                <w:b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NĂVODARI IV</w:t>
            </w:r>
            <w:r>
              <w:rPr>
                <w:b/>
                <w:sz w:val="22"/>
                <w:szCs w:val="22"/>
                <w:lang w:val="fr-FR"/>
              </w:rPr>
            </w:r>
          </w:p>
          <w:p>
            <w:pPr>
              <w:pStyle w:val="683"/>
              <w:pBdr/>
              <w:spacing/>
              <w:ind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ZONA I POPAS III MA</w:t>
            </w:r>
            <w:r>
              <w:rPr>
                <w:b/>
                <w:sz w:val="22"/>
                <w:szCs w:val="22"/>
                <w:lang w:val="fr-FR"/>
              </w:rPr>
              <w:t xml:space="preserve">MAIA</w:t>
            </w:r>
            <w:r>
              <w:rPr>
                <w:b/>
                <w:sz w:val="22"/>
                <w:szCs w:val="22"/>
                <w:lang w:val="fr-FR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>
          <w:trHeight w:val="639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NĂVODARI IV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</w:rPr>
              <w:t xml:space="preserve">ZONA II CAMPING PESCĂRESC</w:t>
            </w:r>
            <w:r>
              <w:rPr>
                <w:b/>
                <w:sz w:val="22"/>
                <w:szCs w:val="22"/>
                <w:lang w:val="fr-FR"/>
              </w:rPr>
            </w:r>
            <w:r>
              <w:rPr>
                <w:b/>
                <w:sz w:val="22"/>
                <w:szCs w:val="22"/>
                <w:lang w:val="fr-FR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</w:tbl>
    <w:p>
      <w:pPr>
        <w:pStyle w:val="683"/>
        <w:pBdr/>
        <w:spacing/>
        <w:ind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 apei de îmbăiere </w:t>
      </w:r>
      <w:r>
        <w:rPr>
          <w:b/>
          <w:i/>
          <w:sz w:val="32"/>
          <w:szCs w:val="32"/>
          <w:lang w:val="fr-FR"/>
        </w:rPr>
        <w:t xml:space="preserve">Mamaia </w:t>
      </w:r>
      <w:r>
        <w:rPr>
          <w:b/>
          <w:i/>
          <w:sz w:val="32"/>
          <w:szCs w:val="32"/>
          <w:lang w:val="fr-FR"/>
        </w:rPr>
        <w:t xml:space="preserve">–</w:t>
      </w:r>
      <w:r>
        <w:rPr>
          <w:b/>
          <w:i/>
          <w:sz w:val="32"/>
          <w:szCs w:val="32"/>
          <w:lang w:val="fr-FR"/>
        </w:rPr>
        <w:t xml:space="preserve"> </w:t>
      </w:r>
      <w:r>
        <w:rPr>
          <w:b/>
          <w:i/>
          <w:sz w:val="36"/>
          <w:szCs w:val="36"/>
          <w:lang w:val="en-US"/>
        </w:rPr>
        <w:t xml:space="preserve">31</w:t>
      </w:r>
      <w:r>
        <w:rPr>
          <w:b/>
          <w:i/>
          <w:sz w:val="36"/>
          <w:szCs w:val="36"/>
          <w:lang w:val="fr-FR"/>
        </w:rPr>
        <w:t xml:space="preserve">.0</w:t>
      </w:r>
      <w:r>
        <w:rPr>
          <w:b/>
          <w:i/>
          <w:sz w:val="36"/>
          <w:szCs w:val="36"/>
          <w:lang w:val="en-US"/>
        </w:rPr>
        <w:t xml:space="preserve">8</w:t>
      </w:r>
      <w:r>
        <w:rPr>
          <w:b/>
          <w:i/>
          <w:sz w:val="36"/>
          <w:szCs w:val="36"/>
          <w:lang w:val="fr-FR"/>
        </w:rPr>
        <w:t xml:space="preserve">.202</w:t>
      </w:r>
      <w:r>
        <w:rPr>
          <w:b/>
          <w:i/>
          <w:sz w:val="36"/>
          <w:szCs w:val="36"/>
          <w:lang w:val="fr-FR"/>
        </w:rPr>
        <w:t xml:space="preserve">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RECOLTĂ</w:t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</w:t>
            </w:r>
            <w:r>
              <w:rPr>
                <w:b/>
              </w:rPr>
              <w:t xml:space="preserve">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422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MAMAIA I - ZONA 1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TABĂRA TURIST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30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MAMAIA I -ZONA 2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ENIGMA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61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19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>
          <w:trHeight w:val="493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MAMAIA II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ESTIVAL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61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16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MAMAIA III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VEG</w:t>
            </w:r>
            <w:r>
              <w:rPr>
                <w:b/>
                <w:sz w:val="22"/>
                <w:szCs w:val="22"/>
              </w:rPr>
              <w:t xml:space="preserve">A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10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MAMAIA IV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REX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30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>
          <w:trHeight w:val="485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MAMAIA V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CASTEL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15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4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>
          <w:trHeight w:val="512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MAMAIA VI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CAZINO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94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12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>
          <w:trHeight w:val="53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MAMAIA VII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PERLA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61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11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rPr>
                <w:b/>
              </w:rPr>
            </w:pPr>
            <w:r>
              <w:rPr>
                <w:b/>
              </w:rPr>
              <w:t xml:space="preserve">   </w:t>
            </w: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>
          <w:trHeight w:val="4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MAMAIA VIII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AURORA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45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7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</w:tbl>
    <w:p>
      <w:pPr>
        <w:pStyle w:val="683"/>
        <w:pBdr/>
        <w:spacing/>
        <w:ind/>
        <w:jc w:val="center"/>
        <w:rPr>
          <w:b/>
          <w:i/>
          <w:lang w:val="fr-FR"/>
        </w:rPr>
      </w:pPr>
      <w:r>
        <w:rPr>
          <w:b/>
          <w:i/>
          <w:lang w:val="fr-FR"/>
        </w:rPr>
      </w:r>
      <w:r>
        <w:rPr>
          <w:b/>
          <w:i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lang w:val="fr-FR"/>
        </w:rPr>
      </w:pPr>
      <w:r>
        <w:rPr>
          <w:b/>
          <w:i/>
          <w:lang w:val="fr-FR"/>
        </w:rPr>
      </w:r>
      <w:r>
        <w:rPr>
          <w:b/>
          <w:i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 apei de îmbăiere Constan</w:t>
      </w:r>
      <w:r>
        <w:rPr>
          <w:b/>
          <w:i/>
          <w:sz w:val="32"/>
          <w:szCs w:val="32"/>
          <w:lang w:val="ro-RO"/>
        </w:rPr>
        <w:t xml:space="preserve">ţa</w:t>
      </w:r>
      <w:r>
        <w:rPr>
          <w:b/>
          <w:i/>
          <w:sz w:val="32"/>
          <w:szCs w:val="32"/>
          <w:lang w:val="fr-FR"/>
        </w:rPr>
        <w:t xml:space="preserve"> –</w:t>
      </w:r>
      <w:r>
        <w:rPr>
          <w:b/>
          <w:i/>
          <w:sz w:val="32"/>
          <w:szCs w:val="32"/>
          <w:lang w:val="en-US"/>
        </w:rPr>
        <w:t xml:space="preserve"> </w:t>
      </w:r>
      <w:r>
        <w:rPr>
          <w:b/>
          <w:i/>
          <w:sz w:val="36"/>
          <w:szCs w:val="36"/>
          <w:lang w:val="en-US"/>
        </w:rPr>
        <w:t xml:space="preserve">31</w:t>
      </w:r>
      <w:r>
        <w:rPr>
          <w:b/>
          <w:i/>
          <w:sz w:val="36"/>
          <w:szCs w:val="36"/>
          <w:lang w:val="fr-FR"/>
        </w:rPr>
        <w:t xml:space="preserve">.0</w:t>
      </w:r>
      <w:r>
        <w:rPr>
          <w:b/>
          <w:i/>
          <w:sz w:val="36"/>
          <w:szCs w:val="36"/>
          <w:lang w:val="en-US"/>
        </w:rPr>
        <w:t xml:space="preserve">8</w:t>
      </w:r>
      <w:r>
        <w:rPr>
          <w:b/>
          <w:i/>
          <w:sz w:val="36"/>
          <w:szCs w:val="36"/>
          <w:lang w:val="fr-FR"/>
        </w:rPr>
        <w:t xml:space="preserve">.202</w:t>
      </w:r>
      <w:r>
        <w:rPr>
          <w:b/>
          <w:i/>
          <w:sz w:val="36"/>
          <w:szCs w:val="36"/>
          <w:lang w:val="fr-FR"/>
        </w:rPr>
        <w:t xml:space="preserve">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RECOLTĂ</w:t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CONSTANŢA 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DELFINARIU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  <w:lang w:val="en-GB"/>
              </w:rPr>
            </w:pPr>
            <w:r>
              <w:rPr>
                <w:b/>
                <w:sz w:val="28"/>
                <w:szCs w:val="28"/>
                <w:lang w:val="en-GB"/>
              </w:rPr>
              <w:t xml:space="preserve">30</w:t>
            </w:r>
            <w:r>
              <w:rPr>
                <w:b/>
                <w:sz w:val="28"/>
                <w:szCs w:val="28"/>
                <w:lang w:val="en-GB"/>
              </w:rPr>
            </w:r>
            <w:r>
              <w:rPr>
                <w:b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8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CONSTANŢA II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MODERN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  <w:lang w:val="en-GB"/>
              </w:rPr>
            </w:pPr>
            <w:r>
              <w:rPr>
                <w:b/>
                <w:sz w:val="28"/>
                <w:szCs w:val="28"/>
                <w:lang w:val="en-GB"/>
              </w:rPr>
              <w:t xml:space="preserve">108</w:t>
            </w:r>
            <w:r>
              <w:rPr>
                <w:b/>
                <w:sz w:val="28"/>
                <w:szCs w:val="28"/>
                <w:lang w:val="en-GB"/>
              </w:rPr>
            </w:r>
            <w:r>
              <w:rPr>
                <w:b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14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</w:tbl>
    <w:p>
      <w:pPr>
        <w:pStyle w:val="683"/>
        <w:pBdr/>
        <w:spacing/>
        <w:ind/>
        <w:jc w:val="center"/>
        <w:rPr>
          <w:b/>
          <w:sz w:val="14"/>
          <w:szCs w:val="14"/>
          <w:lang w:val="fr-FR"/>
        </w:rPr>
      </w:pPr>
      <w:r>
        <w:rPr>
          <w:b/>
          <w:sz w:val="14"/>
          <w:szCs w:val="14"/>
          <w:lang w:val="fr-FR"/>
        </w:rPr>
      </w:r>
      <w:r>
        <w:rPr>
          <w:b/>
          <w:sz w:val="14"/>
          <w:szCs w:val="14"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 apei de îmbăiere Corbu – </w:t>
      </w:r>
      <w:r>
        <w:rPr>
          <w:b/>
          <w:i/>
          <w:sz w:val="36"/>
          <w:szCs w:val="36"/>
          <w:lang w:val="en-US"/>
        </w:rPr>
        <w:t xml:space="preserve">31</w:t>
      </w:r>
      <w:r>
        <w:rPr>
          <w:b/>
          <w:i/>
          <w:sz w:val="36"/>
          <w:szCs w:val="36"/>
          <w:lang w:val="fr-FR"/>
        </w:rPr>
        <w:t xml:space="preserve">.0</w:t>
      </w:r>
      <w:r>
        <w:rPr>
          <w:b/>
          <w:i/>
          <w:sz w:val="36"/>
          <w:szCs w:val="36"/>
          <w:lang w:val="en-US"/>
        </w:rPr>
        <w:t xml:space="preserve">8</w:t>
      </w:r>
      <w:r>
        <w:rPr>
          <w:b/>
          <w:i/>
          <w:sz w:val="36"/>
          <w:szCs w:val="36"/>
          <w:lang w:val="fr-FR"/>
        </w:rPr>
        <w:t xml:space="preserve">.202</w:t>
      </w:r>
      <w:r>
        <w:rPr>
          <w:b/>
          <w:i/>
          <w:sz w:val="36"/>
          <w:szCs w:val="36"/>
          <w:lang w:val="fr-FR"/>
        </w:rPr>
        <w:t xml:space="preserve">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RECOLTĂ</w:t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</w:p>
        </w:tc>
      </w:tr>
      <w:tr>
        <w:trPr>
          <w:trHeight w:val="1565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</w:t>
            </w:r>
            <w:r>
              <w:rPr>
                <w:b/>
                <w:lang w:val="en-GB"/>
              </w:rPr>
              <w:t xml:space="preserve">0</w:t>
            </w:r>
            <w:r>
              <w:rPr>
                <w:b/>
                <w:lang w:val="en-GB"/>
              </w:rPr>
              <w:t xml:space="preserve">0</w:t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CORBU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  <w:lang w:val="en-GB"/>
              </w:rPr>
            </w:pPr>
            <w:r>
              <w:rPr>
                <w:b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sz w:val="28"/>
                <w:szCs w:val="28"/>
                <w:lang w:val="en-GB"/>
              </w:rPr>
            </w:r>
            <w:r>
              <w:rPr>
                <w:b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VADU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  <w:lang w:val="en-GB"/>
              </w:rPr>
            </w:pPr>
            <w:r>
              <w:rPr>
                <w:b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sz w:val="28"/>
                <w:szCs w:val="28"/>
                <w:lang w:val="en-GB"/>
              </w:rPr>
            </w:r>
            <w:r>
              <w:rPr>
                <w:b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3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</w:tbl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 apei de îmbăiere Eforie Nord –</w:t>
      </w:r>
      <w:r>
        <w:rPr>
          <w:b/>
          <w:i/>
          <w:sz w:val="32"/>
          <w:szCs w:val="32"/>
          <w:lang w:val="fr-FR"/>
        </w:rPr>
        <w:t xml:space="preserve"> </w:t>
      </w:r>
      <w:r>
        <w:rPr>
          <w:b/>
          <w:i/>
          <w:sz w:val="36"/>
          <w:szCs w:val="36"/>
          <w:lang w:val="en-US"/>
        </w:rPr>
        <w:t xml:space="preserve">01</w:t>
      </w:r>
      <w:r>
        <w:rPr>
          <w:b/>
          <w:i/>
          <w:sz w:val="36"/>
          <w:szCs w:val="36"/>
          <w:lang w:val="fr-FR"/>
        </w:rPr>
        <w:t xml:space="preserve">.0</w:t>
      </w:r>
      <w:r>
        <w:rPr>
          <w:b/>
          <w:i/>
          <w:sz w:val="36"/>
          <w:szCs w:val="36"/>
          <w:lang w:val="en-US"/>
        </w:rPr>
        <w:t xml:space="preserve">9</w:t>
      </w:r>
      <w:r>
        <w:rPr>
          <w:b/>
          <w:i/>
          <w:sz w:val="36"/>
          <w:szCs w:val="36"/>
          <w:lang w:val="fr-FR"/>
        </w:rPr>
        <w:t xml:space="preserve">.202</w:t>
      </w:r>
      <w:r>
        <w:rPr>
          <w:b/>
          <w:i/>
          <w:sz w:val="36"/>
          <w:szCs w:val="36"/>
          <w:lang w:val="fr-FR"/>
        </w:rPr>
        <w:t xml:space="preserve">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RECOLTĂ</w:t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EFORIE  NORD 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ZONA DEBARCADER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46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11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EFORIE  NORD II</w:t>
            </w:r>
            <w:r>
              <w:rPr>
                <w:b/>
                <w:sz w:val="22"/>
                <w:szCs w:val="22"/>
                <w:lang w:val="fr-FR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ZONA BELONA </w:t>
            </w:r>
            <w:r>
              <w:rPr>
                <w:b/>
                <w:sz w:val="22"/>
                <w:szCs w:val="22"/>
                <w:lang w:val="fr-FR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1</w:t>
            </w:r>
            <w:r>
              <w:rPr>
                <w:b/>
                <w:bCs/>
                <w:sz w:val="28"/>
                <w:szCs w:val="28"/>
                <w:lang w:val="en-GB"/>
              </w:rPr>
              <w:t xml:space="preserve">5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7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CORDON EFORIE I 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TABĂRA AZUR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0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CORDON EFORIE II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LUMINITA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2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</w:tbl>
    <w:p>
      <w:pPr>
        <w:pStyle w:val="683"/>
        <w:pBdr/>
        <w:spacing/>
        <w:ind/>
        <w:jc w:val="center"/>
        <w:rPr>
          <w:b/>
          <w:sz w:val="14"/>
          <w:szCs w:val="14"/>
          <w:lang w:val="fr-FR"/>
        </w:rPr>
      </w:pPr>
      <w:r>
        <w:rPr>
          <w:b/>
          <w:sz w:val="14"/>
          <w:szCs w:val="14"/>
          <w:lang w:val="fr-FR"/>
        </w:rPr>
      </w:r>
      <w:r>
        <w:rPr>
          <w:b/>
          <w:sz w:val="14"/>
          <w:szCs w:val="14"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 apei de îmbăiere Eforie Sud</w:t>
      </w:r>
      <w:r>
        <w:rPr>
          <w:b/>
          <w:i/>
          <w:sz w:val="32"/>
          <w:szCs w:val="32"/>
          <w:lang w:val="fr-FR"/>
        </w:rPr>
        <w:t xml:space="preserve">- </w:t>
      </w:r>
      <w:r>
        <w:rPr>
          <w:b/>
          <w:i/>
          <w:sz w:val="36"/>
          <w:szCs w:val="36"/>
          <w:lang w:val="fr-FR"/>
        </w:rPr>
        <w:t xml:space="preserve">01</w:t>
      </w:r>
      <w:r>
        <w:rPr>
          <w:b/>
          <w:i/>
          <w:sz w:val="32"/>
          <w:szCs w:val="32"/>
          <w:lang w:val="fr-FR"/>
        </w:rPr>
        <w:t xml:space="preserve">.</w:t>
      </w:r>
      <w:r>
        <w:rPr>
          <w:b/>
          <w:i/>
          <w:sz w:val="36"/>
          <w:szCs w:val="36"/>
          <w:lang w:val="fr-FR"/>
        </w:rPr>
        <w:t xml:space="preserve">0</w:t>
      </w:r>
      <w:r>
        <w:rPr>
          <w:b/>
          <w:i/>
          <w:sz w:val="36"/>
          <w:szCs w:val="36"/>
          <w:lang w:val="fr-FR"/>
        </w:rPr>
        <w:t xml:space="preserve">9</w:t>
      </w:r>
      <w:r>
        <w:rPr>
          <w:b/>
          <w:i/>
          <w:sz w:val="36"/>
          <w:szCs w:val="36"/>
          <w:lang w:val="fr-FR"/>
        </w:rPr>
        <w:t xml:space="preserve">.202</w:t>
      </w:r>
      <w:r>
        <w:rPr>
          <w:b/>
          <w:i/>
          <w:sz w:val="36"/>
          <w:szCs w:val="36"/>
          <w:lang w:val="fr-FR"/>
        </w:rPr>
        <w:t xml:space="preserve">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RECOLTĂ</w:t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EFORIE  SUD 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SPLENDID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0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EFORIE  SUD II</w:t>
            </w:r>
            <w:r>
              <w:rPr>
                <w:b/>
                <w:sz w:val="22"/>
                <w:szCs w:val="22"/>
                <w:lang w:val="fr-FR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CAZINO</w:t>
            </w:r>
            <w:r>
              <w:rPr>
                <w:b/>
                <w:sz w:val="22"/>
                <w:szCs w:val="22"/>
                <w:lang w:val="fr-FR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</w:tbl>
    <w:p>
      <w:pPr>
        <w:pStyle w:val="683"/>
        <w:pBdr/>
        <w:spacing/>
        <w:ind/>
        <w:jc w:val="center"/>
        <w:rPr>
          <w:b/>
          <w:sz w:val="14"/>
          <w:szCs w:val="14"/>
          <w:lang w:val="fr-FR"/>
        </w:rPr>
      </w:pPr>
      <w:r>
        <w:rPr>
          <w:b/>
          <w:sz w:val="14"/>
          <w:szCs w:val="14"/>
          <w:lang w:val="fr-FR"/>
        </w:rPr>
      </w:r>
      <w:r>
        <w:rPr>
          <w:b/>
          <w:sz w:val="14"/>
          <w:szCs w:val="14"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 apei de îmbăiere Costineşti –</w:t>
      </w:r>
      <w:r>
        <w:rPr>
          <w:b/>
          <w:i/>
          <w:sz w:val="36"/>
          <w:szCs w:val="36"/>
          <w:lang w:val="fr-FR"/>
        </w:rPr>
        <w:t xml:space="preserve">01</w:t>
      </w:r>
      <w:r>
        <w:rPr>
          <w:b/>
          <w:i/>
          <w:sz w:val="36"/>
          <w:szCs w:val="36"/>
          <w:lang w:val="fr-FR"/>
        </w:rPr>
        <w:t xml:space="preserve">.0</w:t>
      </w:r>
      <w:r>
        <w:rPr>
          <w:b/>
          <w:i/>
          <w:sz w:val="36"/>
          <w:szCs w:val="36"/>
          <w:lang w:val="fr-FR"/>
        </w:rPr>
        <w:t xml:space="preserve">9</w:t>
      </w:r>
      <w:r>
        <w:rPr>
          <w:b/>
          <w:i/>
          <w:sz w:val="36"/>
          <w:szCs w:val="36"/>
          <w:lang w:val="fr-FR"/>
        </w:rPr>
        <w:t xml:space="preserve">.202</w:t>
      </w:r>
      <w:r>
        <w:rPr>
          <w:b/>
          <w:i/>
          <w:sz w:val="36"/>
          <w:szCs w:val="36"/>
          <w:lang w:val="fr-FR"/>
        </w:rPr>
        <w:t xml:space="preserve">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RECOLTĂ</w:t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COSTINEŞTI 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PESCĂRIE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77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12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COSTINEŞTI II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FORUM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15</w:t>
            </w:r>
            <w:r>
              <w:rPr>
                <w:b/>
                <w:bCs/>
                <w:sz w:val="28"/>
                <w:szCs w:val="28"/>
                <w:lang w:val="en-GB"/>
              </w:rPr>
            </w:r>
            <w:r>
              <w:rPr>
                <w:b/>
                <w:bCs/>
                <w:sz w:val="28"/>
                <w:szCs w:val="28"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14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</w:tbl>
    <w:p>
      <w:pPr>
        <w:pStyle w:val="683"/>
        <w:pBdr/>
        <w:spacing/>
        <w:ind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83"/>
        <w:pBdr/>
        <w:spacing/>
        <w:ind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83"/>
        <w:pBdr/>
        <w:spacing/>
        <w:ind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83"/>
        <w:pBdr/>
        <w:spacing/>
        <w:ind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83"/>
        <w:pBdr/>
        <w:spacing/>
        <w:ind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83"/>
        <w:pBdr/>
        <w:spacing/>
        <w:ind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83"/>
        <w:pBdr/>
        <w:spacing/>
        <w:ind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83"/>
        <w:pBdr/>
        <w:spacing w:line="276" w:lineRule="auto"/>
        <w:ind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</w:r>
      <w:r>
        <w:rPr>
          <w:sz w:val="20"/>
          <w:szCs w:val="20"/>
          <w:lang w:val="ro-RO"/>
        </w:rPr>
      </w:r>
    </w:p>
    <w:p>
      <w:pPr>
        <w:pStyle w:val="683"/>
        <w:pBdr/>
        <w:spacing w:line="276" w:lineRule="auto"/>
        <w:ind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</w:r>
      <w:r>
        <w:rPr>
          <w:sz w:val="20"/>
          <w:szCs w:val="20"/>
          <w:lang w:val="ro-RO"/>
        </w:rPr>
      </w:r>
    </w:p>
    <w:p>
      <w:pPr>
        <w:pStyle w:val="683"/>
        <w:pBdr/>
        <w:spacing w:line="276" w:lineRule="auto"/>
        <w:ind/>
        <w:jc w:val="right"/>
        <w:rPr>
          <w:b/>
          <w:sz w:val="16"/>
          <w:szCs w:val="16"/>
          <w:lang w:val="ro-RO"/>
        </w:rPr>
      </w:pPr>
      <w:r>
        <w:rPr>
          <w:sz w:val="20"/>
          <w:szCs w:val="20"/>
          <w:lang w:val="ro-RO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b/>
          <w:sz w:val="16"/>
          <w:szCs w:val="16"/>
          <w:lang w:val="ro-RO"/>
        </w:rPr>
      </w:r>
      <w:r>
        <w:rPr>
          <w:b/>
          <w:sz w:val="16"/>
          <w:szCs w:val="16"/>
          <w:lang w:val="ro-RO"/>
        </w:rPr>
      </w:r>
    </w:p>
    <w:sectPr>
      <w:footnotePr/>
      <w:endnotePr>
        <w:numFmt w:val="decimal"/>
      </w:endnotePr>
      <w:type w:val="nextPage"/>
      <w:pgSz w:h="16838" w:orient="portrait" w:w="11906"/>
      <w:pgMar w:top="1008" w:right="1138" w:bottom="1008" w:left="1152" w:header="706" w:footer="706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imes New Roman">
    <w:panose1 w:val="02020603050405020304"/>
  </w:font>
  <w:font w:name="Segoe UI">
    <w:panose1 w:val="020B0502040204020203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550657"/>
    <w:lvl w:ilvl="0">
      <w:isLgl w:val="false"/>
      <w:lvlJc w:val="left"/>
      <w:lvlText w:val="-"/>
      <w:numFmt w:val="bullet"/>
      <w:pPr>
        <w:pBdr/>
        <w:tabs>
          <w:tab w:val="num" w:leader="none" w:pos="960"/>
        </w:tabs>
        <w:spacing/>
        <w:ind w:hanging="360" w:left="960"/>
      </w:pPr>
      <w:rPr>
        <w:rFonts w:ascii="Times New Roman" w:hAnsi="Times New Roman" w:eastAsia="Times New Roman" w:cs="Times New Roman"/>
        <w:sz w:val="24"/>
      </w:rPr>
      <w:start w:val="5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680"/>
        </w:tabs>
        <w:spacing/>
        <w:ind w:hanging="360" w:left="168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400"/>
        </w:tabs>
        <w:spacing/>
        <w:ind w:hanging="360" w:left="240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3120"/>
        </w:tabs>
        <w:spacing/>
        <w:ind w:hanging="360" w:left="312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840"/>
        </w:tabs>
        <w:spacing/>
        <w:ind w:hanging="360" w:left="384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560"/>
        </w:tabs>
        <w:spacing/>
        <w:ind w:hanging="360" w:left="456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280"/>
        </w:tabs>
        <w:spacing/>
        <w:ind w:hanging="360" w:left="528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6000"/>
        </w:tabs>
        <w:spacing/>
        <w:ind w:hanging="360" w:left="600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720"/>
        </w:tabs>
        <w:spacing/>
        <w:ind w:hanging="360" w:left="6720"/>
      </w:pPr>
      <w:rPr>
        <w:rFonts w:ascii="Wingdings" w:hAnsi="Wingdings"/>
      </w:rPr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83"/>
    <w:next w:val="683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83"/>
    <w:next w:val="683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83"/>
    <w:next w:val="683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83"/>
    <w:next w:val="683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83"/>
    <w:next w:val="683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83"/>
    <w:next w:val="683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83"/>
    <w:next w:val="683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83"/>
    <w:next w:val="683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83"/>
    <w:next w:val="683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numbering" w:styleId="149" w:default="1">
    <w:name w:val="No List"/>
    <w:uiPriority w:val="99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83"/>
    <w:next w:val="683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83"/>
    <w:next w:val="683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83"/>
    <w:next w:val="683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683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83"/>
    <w:next w:val="683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83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83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83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83"/>
    <w:next w:val="683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83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83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83"/>
    <w:next w:val="683"/>
    <w:uiPriority w:val="39"/>
    <w:unhideWhenUsed/>
    <w:pPr>
      <w:pBdr/>
      <w:spacing w:after="100"/>
      <w:ind/>
    </w:pPr>
  </w:style>
  <w:style w:type="paragraph" w:styleId="190">
    <w:name w:val="toc 2"/>
    <w:basedOn w:val="683"/>
    <w:next w:val="683"/>
    <w:uiPriority w:val="39"/>
    <w:unhideWhenUsed/>
    <w:pPr>
      <w:pBdr/>
      <w:spacing w:after="100"/>
      <w:ind w:left="220"/>
    </w:pPr>
  </w:style>
  <w:style w:type="paragraph" w:styleId="191">
    <w:name w:val="toc 3"/>
    <w:basedOn w:val="683"/>
    <w:next w:val="683"/>
    <w:uiPriority w:val="39"/>
    <w:unhideWhenUsed/>
    <w:pPr>
      <w:pBdr/>
      <w:spacing w:after="100"/>
      <w:ind w:left="440"/>
    </w:pPr>
  </w:style>
  <w:style w:type="paragraph" w:styleId="192">
    <w:name w:val="toc 4"/>
    <w:basedOn w:val="683"/>
    <w:next w:val="683"/>
    <w:uiPriority w:val="39"/>
    <w:unhideWhenUsed/>
    <w:pPr>
      <w:pBdr/>
      <w:spacing w:after="100"/>
      <w:ind w:left="660"/>
    </w:pPr>
  </w:style>
  <w:style w:type="paragraph" w:styleId="193">
    <w:name w:val="toc 5"/>
    <w:basedOn w:val="683"/>
    <w:next w:val="683"/>
    <w:uiPriority w:val="39"/>
    <w:unhideWhenUsed/>
    <w:pPr>
      <w:pBdr/>
      <w:spacing w:after="100"/>
      <w:ind w:left="880"/>
    </w:pPr>
  </w:style>
  <w:style w:type="paragraph" w:styleId="194">
    <w:name w:val="toc 6"/>
    <w:basedOn w:val="683"/>
    <w:next w:val="683"/>
    <w:uiPriority w:val="39"/>
    <w:unhideWhenUsed/>
    <w:pPr>
      <w:pBdr/>
      <w:spacing w:after="100"/>
      <w:ind w:left="1100"/>
    </w:pPr>
  </w:style>
  <w:style w:type="paragraph" w:styleId="195">
    <w:name w:val="toc 7"/>
    <w:basedOn w:val="683"/>
    <w:next w:val="683"/>
    <w:uiPriority w:val="39"/>
    <w:unhideWhenUsed/>
    <w:pPr>
      <w:pBdr/>
      <w:spacing w:after="100"/>
      <w:ind w:left="1320"/>
    </w:pPr>
  </w:style>
  <w:style w:type="paragraph" w:styleId="196">
    <w:name w:val="toc 8"/>
    <w:basedOn w:val="683"/>
    <w:next w:val="683"/>
    <w:uiPriority w:val="39"/>
    <w:unhideWhenUsed/>
    <w:pPr>
      <w:pBdr/>
      <w:spacing w:after="100"/>
      <w:ind w:left="1540"/>
    </w:pPr>
  </w:style>
  <w:style w:type="paragraph" w:styleId="197">
    <w:name w:val="toc 9"/>
    <w:basedOn w:val="683"/>
    <w:next w:val="683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83"/>
    <w:next w:val="683"/>
    <w:uiPriority w:val="99"/>
    <w:unhideWhenUsed/>
    <w:pPr>
      <w:pBdr/>
      <w:spacing w:after="0" w:afterAutospacing="0"/>
      <w:ind/>
    </w:pPr>
  </w:style>
  <w:style w:type="paragraph" w:styleId="683" w:default="1">
    <w:name w:val="Normal"/>
    <w:next w:val="683"/>
    <w:link w:val="683"/>
    <w:qFormat/>
    <w:pPr>
      <w:pBdr/>
      <w:spacing/>
      <w:ind/>
    </w:pPr>
    <w:rPr>
      <w:sz w:val="24"/>
      <w:szCs w:val="24"/>
      <w:lang w:val="en-US" w:eastAsia="en-US" w:bidi="ar-SA"/>
    </w:rPr>
  </w:style>
  <w:style w:type="character" w:styleId="684">
    <w:name w:val="Font de paragraf implicit"/>
    <w:next w:val="684"/>
    <w:link w:val="683"/>
    <w:semiHidden/>
    <w:pPr>
      <w:pBdr/>
      <w:spacing/>
      <w:ind/>
    </w:pPr>
  </w:style>
  <w:style w:type="table" w:styleId="685">
    <w:name w:val="Tabel Normal"/>
    <w:next w:val="685"/>
    <w:link w:val="683"/>
    <w:semiHidden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86">
    <w:name w:val="Fără Listare"/>
    <w:next w:val="686"/>
    <w:link w:val="683"/>
    <w:semiHidden/>
    <w:pPr>
      <w:pBdr/>
      <w:spacing/>
      <w:ind/>
    </w:pPr>
  </w:style>
  <w:style w:type="table" w:styleId="687">
    <w:name w:val="Tabel grilă"/>
    <w:basedOn w:val="685"/>
    <w:next w:val="687"/>
    <w:link w:val="683"/>
    <w:pPr>
      <w:pBdr/>
      <w:spacing/>
      <w:ind/>
    </w:p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688">
    <w:name w:val="Titlu"/>
    <w:basedOn w:val="683"/>
    <w:next w:val="688"/>
    <w:link w:val="683"/>
    <w:qFormat/>
    <w:pPr>
      <w:pBdr/>
      <w:spacing/>
      <w:ind/>
      <w:jc w:val="center"/>
    </w:pPr>
    <w:rPr>
      <w:szCs w:val="20"/>
    </w:rPr>
  </w:style>
  <w:style w:type="paragraph" w:styleId="689">
    <w:name w:val="Text în Balon"/>
    <w:basedOn w:val="683"/>
    <w:next w:val="689"/>
    <w:link w:val="690"/>
    <w:pPr>
      <w:pBdr/>
      <w:spacing/>
      <w:ind/>
    </w:pPr>
    <w:rPr>
      <w:rFonts w:ascii="Segoe UI" w:hAnsi="Segoe UI" w:cs="Segoe UI"/>
      <w:sz w:val="18"/>
      <w:szCs w:val="18"/>
    </w:rPr>
  </w:style>
  <w:style w:type="character" w:styleId="690">
    <w:name w:val="Text în Balon Caracter"/>
    <w:next w:val="690"/>
    <w:link w:val="689"/>
    <w:pPr>
      <w:pBdr/>
      <w:spacing/>
      <w:ind/>
    </w:pPr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 </Company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</dc:title>
  <dc:creator>Dim3nsi0n release</dc:creator>
  <cp:revision>54</cp:revision>
  <dcterms:created xsi:type="dcterms:W3CDTF">2026-05-29T05:46:00Z</dcterms:created>
  <dcterms:modified xsi:type="dcterms:W3CDTF">2026-09-28T08:33:21Z</dcterms:modified>
  <cp:version>1048576</cp:version>
</cp:coreProperties>
</file>